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1F109" w14:textId="455ABB3A" w:rsidR="006576B8" w:rsidRDefault="00FD4A86" w:rsidP="006F532D">
      <w:pPr>
        <w:spacing w:before="78"/>
        <w:ind w:left="1260"/>
        <w:rPr>
          <w:b/>
          <w:i/>
        </w:rPr>
      </w:pPr>
      <w:bookmarkStart w:id="0" w:name="Pharmacy_2367_Appendices_2016-2017_19"/>
      <w:bookmarkStart w:id="1" w:name="_GoBack"/>
      <w:bookmarkEnd w:id="0"/>
      <w:bookmarkEnd w:id="1"/>
      <w:r>
        <w:rPr>
          <w:b/>
        </w:rPr>
        <w:t xml:space="preserve">GE Assessment Plan for </w:t>
      </w:r>
      <w:r w:rsidR="00B67749">
        <w:rPr>
          <w:b/>
        </w:rPr>
        <w:t>SPAN 1113</w:t>
      </w:r>
      <w:r>
        <w:rPr>
          <w:b/>
        </w:rPr>
        <w:t xml:space="preserve"> </w:t>
      </w:r>
      <w:r w:rsidR="006F532D" w:rsidRPr="002F4034">
        <w:rPr>
          <w:b/>
          <w:i/>
        </w:rPr>
        <w:t xml:space="preserve">Intensive Elementary Spanish </w:t>
      </w:r>
      <w:proofErr w:type="gramStart"/>
      <w:r w:rsidR="006F532D" w:rsidRPr="002F4034">
        <w:rPr>
          <w:b/>
          <w:i/>
        </w:rPr>
        <w:t>For</w:t>
      </w:r>
      <w:proofErr w:type="gramEnd"/>
      <w:r w:rsidR="006F532D" w:rsidRPr="002F4034">
        <w:rPr>
          <w:b/>
          <w:i/>
        </w:rPr>
        <w:t xml:space="preserve"> Heritage Learners</w:t>
      </w:r>
    </w:p>
    <w:p w14:paraId="7098D755" w14:textId="77777777" w:rsidR="006576B8" w:rsidRDefault="006576B8">
      <w:pPr>
        <w:pStyle w:val="BodyText"/>
        <w:rPr>
          <w:b/>
          <w:i/>
          <w:sz w:val="20"/>
        </w:rPr>
      </w:pPr>
    </w:p>
    <w:p w14:paraId="3289DBC1" w14:textId="77777777" w:rsidR="006576B8" w:rsidRDefault="006576B8">
      <w:pPr>
        <w:pStyle w:val="BodyText"/>
        <w:spacing w:before="2"/>
        <w:rPr>
          <w:b/>
          <w:i/>
          <w:sz w:val="26"/>
        </w:rPr>
      </w:pP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5"/>
        <w:gridCol w:w="2335"/>
        <w:gridCol w:w="2335"/>
      </w:tblGrid>
      <w:tr w:rsidR="006576B8" w14:paraId="5BAF2A19" w14:textId="77777777">
        <w:trPr>
          <w:trHeight w:val="2284"/>
        </w:trPr>
        <w:tc>
          <w:tcPr>
            <w:tcW w:w="2335" w:type="dxa"/>
          </w:tcPr>
          <w:p w14:paraId="6DC048F6" w14:textId="77777777" w:rsidR="006576B8" w:rsidRDefault="00FD4A86">
            <w:pPr>
              <w:pStyle w:val="TableParagraph"/>
              <w:ind w:left="235" w:right="206" w:firstLine="312"/>
              <w:rPr>
                <w:b/>
              </w:rPr>
            </w:pPr>
            <w:r>
              <w:rPr>
                <w:b/>
              </w:rPr>
              <w:t>GE Expected Learning Outcomes</w:t>
            </w:r>
          </w:p>
        </w:tc>
        <w:tc>
          <w:tcPr>
            <w:tcW w:w="2335" w:type="dxa"/>
          </w:tcPr>
          <w:p w14:paraId="04BBFB02" w14:textId="77777777" w:rsidR="006576B8" w:rsidRDefault="00FD4A86">
            <w:pPr>
              <w:pStyle w:val="TableParagraph"/>
              <w:ind w:left="132" w:right="121"/>
              <w:jc w:val="center"/>
              <w:rPr>
                <w:b/>
              </w:rPr>
            </w:pPr>
            <w:r>
              <w:rPr>
                <w:b/>
              </w:rPr>
              <w:t>Methods of Assessment</w:t>
            </w:r>
          </w:p>
          <w:p w14:paraId="3A993619" w14:textId="77777777" w:rsidR="006576B8" w:rsidRDefault="00FD4A86">
            <w:pPr>
              <w:pStyle w:val="TableParagraph"/>
              <w:ind w:left="124" w:right="113" w:firstLine="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*Direct methods are required. Additional Indirect methods are encouraged.</w:t>
            </w:r>
          </w:p>
        </w:tc>
        <w:tc>
          <w:tcPr>
            <w:tcW w:w="2335" w:type="dxa"/>
          </w:tcPr>
          <w:p w14:paraId="22BD23AB" w14:textId="77777777" w:rsidR="006576B8" w:rsidRDefault="00FD4A86">
            <w:pPr>
              <w:pStyle w:val="TableParagraph"/>
              <w:ind w:left="132" w:right="121"/>
              <w:jc w:val="center"/>
              <w:rPr>
                <w:b/>
              </w:rPr>
            </w:pPr>
            <w:r>
              <w:rPr>
                <w:b/>
              </w:rPr>
              <w:t>Level of student achievement expected for the GE ELO.</w:t>
            </w:r>
          </w:p>
          <w:p w14:paraId="4D0E0EA4" w14:textId="77777777" w:rsidR="006576B8" w:rsidRDefault="00FD4A86">
            <w:pPr>
              <w:pStyle w:val="TableParagraph"/>
              <w:ind w:left="213" w:right="204" w:firstLine="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(for example define percentage of students achieving a specified level on a scoring rubric)</w:t>
            </w:r>
          </w:p>
        </w:tc>
        <w:tc>
          <w:tcPr>
            <w:tcW w:w="2335" w:type="dxa"/>
          </w:tcPr>
          <w:p w14:paraId="2F549A46" w14:textId="77777777" w:rsidR="006576B8" w:rsidRDefault="00FD4A86">
            <w:pPr>
              <w:pStyle w:val="TableParagraph"/>
              <w:ind w:left="132" w:right="122"/>
              <w:jc w:val="center"/>
              <w:rPr>
                <w:b/>
              </w:rPr>
            </w:pPr>
            <w:r>
              <w:rPr>
                <w:b/>
              </w:rPr>
              <w:t>What is the process that will be used to review the data and potentially change the course to improve student learning of GE ELOs?</w:t>
            </w:r>
          </w:p>
        </w:tc>
      </w:tr>
      <w:tr w:rsidR="006576B8" w14:paraId="095B0342" w14:textId="77777777">
        <w:trPr>
          <w:trHeight w:val="376"/>
        </w:trPr>
        <w:tc>
          <w:tcPr>
            <w:tcW w:w="2335" w:type="dxa"/>
            <w:tcBorders>
              <w:bottom w:val="nil"/>
            </w:tcBorders>
          </w:tcPr>
          <w:p w14:paraId="69EEE389" w14:textId="77777777" w:rsidR="006576B8" w:rsidRDefault="00FD4A86">
            <w:pPr>
              <w:pStyle w:val="TableParagraph"/>
              <w:spacing w:before="1"/>
              <w:ind w:left="851"/>
              <w:rPr>
                <w:b/>
              </w:rPr>
            </w:pPr>
            <w:r>
              <w:rPr>
                <w:b/>
                <w:u w:val="thick"/>
              </w:rPr>
              <w:t>ELO 1</w:t>
            </w:r>
          </w:p>
        </w:tc>
        <w:tc>
          <w:tcPr>
            <w:tcW w:w="2335" w:type="dxa"/>
            <w:tcBorders>
              <w:bottom w:val="nil"/>
            </w:tcBorders>
          </w:tcPr>
          <w:p w14:paraId="0C9BF28A" w14:textId="77777777" w:rsidR="006576B8" w:rsidRDefault="00657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5" w:type="dxa"/>
            <w:tcBorders>
              <w:bottom w:val="nil"/>
            </w:tcBorders>
          </w:tcPr>
          <w:p w14:paraId="55B43D99" w14:textId="77777777" w:rsidR="006576B8" w:rsidRDefault="00657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5" w:type="dxa"/>
            <w:vMerge w:val="restart"/>
          </w:tcPr>
          <w:p w14:paraId="7EABE986" w14:textId="77777777" w:rsidR="006576B8" w:rsidRDefault="006576B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242ABCCE" w14:textId="77777777" w:rsidR="006576B8" w:rsidRDefault="006576B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699FFE2" w14:textId="77777777" w:rsidR="006576B8" w:rsidRDefault="006576B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2CFA3ACC" w14:textId="77777777" w:rsidR="006576B8" w:rsidRDefault="006576B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6AE78B5" w14:textId="77777777" w:rsidR="006576B8" w:rsidRDefault="006576B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E596E01" w14:textId="77777777" w:rsidR="006576B8" w:rsidRDefault="006576B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7DDE353" w14:textId="59D1E36F" w:rsidR="006576B8" w:rsidRDefault="00FD4A86">
            <w:pPr>
              <w:pStyle w:val="TableParagraph"/>
              <w:spacing w:before="204"/>
              <w:ind w:left="108" w:right="98" w:firstLine="2"/>
              <w:jc w:val="center"/>
            </w:pPr>
            <w:r>
              <w:t>At the end of each course offering, the instructor will review the data compiled from the GE ELO scoring rubric, identify any deficiencies, and make changes to the lessons/ assignments as appropriate. If the 100% milestone 2/70%</w:t>
            </w:r>
          </w:p>
          <w:p w14:paraId="66669B27" w14:textId="77777777" w:rsidR="006576B8" w:rsidRDefault="00FD4A86">
            <w:pPr>
              <w:pStyle w:val="TableParagraph"/>
              <w:ind w:left="142" w:right="126"/>
              <w:jc w:val="center"/>
            </w:pPr>
            <w:proofErr w:type="gramStart"/>
            <w:r>
              <w:t>milestone</w:t>
            </w:r>
            <w:proofErr w:type="gramEnd"/>
            <w:r>
              <w:t xml:space="preserve"> 3 benchmark proves too low, they will discuss adjustments to ensure that students are being challenged to an appropriate level.</w:t>
            </w:r>
          </w:p>
        </w:tc>
      </w:tr>
      <w:tr w:rsidR="006576B8" w14:paraId="5AAA565E" w14:textId="77777777">
        <w:trPr>
          <w:trHeight w:val="2397"/>
        </w:trPr>
        <w:tc>
          <w:tcPr>
            <w:tcW w:w="2335" w:type="dxa"/>
            <w:tcBorders>
              <w:top w:val="nil"/>
            </w:tcBorders>
          </w:tcPr>
          <w:p w14:paraId="0DD128BE" w14:textId="77777777" w:rsidR="00B67749" w:rsidRPr="001D163B" w:rsidRDefault="00B67749" w:rsidP="00B67749">
            <w:pPr>
              <w:pStyle w:val="NormalWeb"/>
              <w:rPr>
                <w:rFonts w:ascii="Palatino Linotype" w:hAnsi="Palatino Linotype"/>
                <w:color w:val="000000"/>
              </w:rPr>
            </w:pPr>
            <w:r w:rsidRPr="001D163B">
              <w:rPr>
                <w:rFonts w:ascii="Palatino Linotype" w:hAnsi="Palatino Linotype"/>
                <w:color w:val="000000"/>
              </w:rPr>
              <w:t>Students demonstrate basic communicative skills (e.g., listening, speaking, reading, and writing) in a language other than their native language.</w:t>
            </w:r>
          </w:p>
          <w:p w14:paraId="0398B786" w14:textId="163BC3BF" w:rsidR="006576B8" w:rsidRDefault="006576B8">
            <w:pPr>
              <w:pStyle w:val="TableParagraph"/>
              <w:spacing w:before="113"/>
              <w:ind w:left="158" w:right="145" w:hanging="4"/>
              <w:jc w:val="center"/>
            </w:pPr>
          </w:p>
        </w:tc>
        <w:tc>
          <w:tcPr>
            <w:tcW w:w="2335" w:type="dxa"/>
            <w:tcBorders>
              <w:top w:val="nil"/>
            </w:tcBorders>
          </w:tcPr>
          <w:p w14:paraId="14C53A2B" w14:textId="77777777" w:rsidR="006576B8" w:rsidRDefault="006576B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6D5536B8" w14:textId="77777777" w:rsidR="006576B8" w:rsidRDefault="006576B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79212C66" w14:textId="5D56567D" w:rsidR="006576B8" w:rsidRDefault="00FD4A86">
            <w:pPr>
              <w:pStyle w:val="TableParagraph"/>
              <w:spacing w:before="195"/>
              <w:ind w:left="275" w:right="262" w:hanging="2"/>
              <w:jc w:val="center"/>
            </w:pPr>
            <w:r>
              <w:t xml:space="preserve">GE ELO Scoring Rubric-based evaluation of </w:t>
            </w:r>
            <w:r w:rsidRPr="00B67749">
              <w:rPr>
                <w:b/>
              </w:rPr>
              <w:t xml:space="preserve">Final </w:t>
            </w:r>
            <w:r w:rsidR="00B67749">
              <w:rPr>
                <w:b/>
              </w:rPr>
              <w:t>presentation</w:t>
            </w:r>
            <w:r>
              <w:t xml:space="preserve"> (Appendix A)</w:t>
            </w:r>
          </w:p>
        </w:tc>
        <w:tc>
          <w:tcPr>
            <w:tcW w:w="2335" w:type="dxa"/>
            <w:tcBorders>
              <w:top w:val="nil"/>
            </w:tcBorders>
          </w:tcPr>
          <w:p w14:paraId="08B13321" w14:textId="77777777" w:rsidR="006576B8" w:rsidRDefault="006576B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1032606" w14:textId="77777777" w:rsidR="006576B8" w:rsidRDefault="006576B8">
            <w:pPr>
              <w:pStyle w:val="TableParagraph"/>
              <w:ind w:left="0"/>
              <w:rPr>
                <w:b/>
                <w:i/>
                <w:sz w:val="19"/>
              </w:rPr>
            </w:pPr>
          </w:p>
          <w:p w14:paraId="40D66E06" w14:textId="77777777" w:rsidR="006576B8" w:rsidRDefault="00FD4A86">
            <w:pPr>
              <w:pStyle w:val="TableParagraph"/>
              <w:spacing w:line="252" w:lineRule="exact"/>
              <w:ind w:left="132" w:right="120"/>
              <w:jc w:val="center"/>
            </w:pPr>
            <w:r>
              <w:t>100% of students</w:t>
            </w:r>
          </w:p>
          <w:p w14:paraId="7D47BEB5" w14:textId="77777777" w:rsidR="006576B8" w:rsidRDefault="00FD4A86">
            <w:pPr>
              <w:pStyle w:val="TableParagraph"/>
              <w:spacing w:line="252" w:lineRule="exact"/>
              <w:ind w:left="132" w:right="122"/>
              <w:jc w:val="center"/>
            </w:pPr>
            <w:proofErr w:type="gramStart"/>
            <w:r>
              <w:t>meeting</w:t>
            </w:r>
            <w:proofErr w:type="gramEnd"/>
            <w:r>
              <w:t xml:space="preserve"> milestone 2.</w:t>
            </w:r>
          </w:p>
          <w:p w14:paraId="446C207D" w14:textId="77777777" w:rsidR="006576B8" w:rsidRDefault="00FD4A86">
            <w:pPr>
              <w:pStyle w:val="TableParagraph"/>
              <w:spacing w:line="252" w:lineRule="exact"/>
              <w:ind w:left="129" w:right="122"/>
              <w:jc w:val="center"/>
            </w:pPr>
            <w:r>
              <w:t>70% of students</w:t>
            </w:r>
          </w:p>
          <w:p w14:paraId="03272345" w14:textId="77777777" w:rsidR="006576B8" w:rsidRDefault="00FD4A86">
            <w:pPr>
              <w:pStyle w:val="TableParagraph"/>
              <w:spacing w:before="2"/>
              <w:ind w:left="132" w:right="122"/>
              <w:jc w:val="center"/>
            </w:pPr>
            <w:proofErr w:type="gramStart"/>
            <w:r>
              <w:t>meeting</w:t>
            </w:r>
            <w:proofErr w:type="gramEnd"/>
            <w:r>
              <w:t xml:space="preserve"> milestone 3.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 w14:paraId="0F80C8F7" w14:textId="77777777" w:rsidR="006576B8" w:rsidRDefault="006576B8">
            <w:pPr>
              <w:rPr>
                <w:sz w:val="2"/>
                <w:szCs w:val="2"/>
              </w:rPr>
            </w:pPr>
          </w:p>
        </w:tc>
      </w:tr>
      <w:tr w:rsidR="006576B8" w14:paraId="29C67465" w14:textId="77777777">
        <w:trPr>
          <w:trHeight w:val="375"/>
        </w:trPr>
        <w:tc>
          <w:tcPr>
            <w:tcW w:w="2335" w:type="dxa"/>
            <w:tcBorders>
              <w:bottom w:val="nil"/>
            </w:tcBorders>
          </w:tcPr>
          <w:p w14:paraId="53C02C30" w14:textId="77777777" w:rsidR="006576B8" w:rsidRDefault="00FD4A86">
            <w:pPr>
              <w:pStyle w:val="TableParagraph"/>
              <w:spacing w:line="251" w:lineRule="exact"/>
              <w:ind w:left="851"/>
              <w:rPr>
                <w:b/>
              </w:rPr>
            </w:pPr>
            <w:r>
              <w:rPr>
                <w:b/>
                <w:u w:val="thick"/>
              </w:rPr>
              <w:t>ELO 2</w:t>
            </w:r>
          </w:p>
        </w:tc>
        <w:tc>
          <w:tcPr>
            <w:tcW w:w="2335" w:type="dxa"/>
            <w:tcBorders>
              <w:bottom w:val="nil"/>
            </w:tcBorders>
          </w:tcPr>
          <w:p w14:paraId="0E6C17B0" w14:textId="77777777" w:rsidR="006576B8" w:rsidRDefault="00657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5" w:type="dxa"/>
            <w:tcBorders>
              <w:bottom w:val="nil"/>
            </w:tcBorders>
          </w:tcPr>
          <w:p w14:paraId="63D58424" w14:textId="77777777" w:rsidR="006576B8" w:rsidRDefault="00657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14:paraId="113B44AE" w14:textId="77777777" w:rsidR="006576B8" w:rsidRDefault="006576B8">
            <w:pPr>
              <w:rPr>
                <w:sz w:val="2"/>
                <w:szCs w:val="2"/>
              </w:rPr>
            </w:pPr>
          </w:p>
        </w:tc>
      </w:tr>
      <w:tr w:rsidR="006576B8" w14:paraId="185B0190" w14:textId="77777777">
        <w:trPr>
          <w:trHeight w:val="2398"/>
        </w:trPr>
        <w:tc>
          <w:tcPr>
            <w:tcW w:w="2335" w:type="dxa"/>
            <w:tcBorders>
              <w:top w:val="nil"/>
            </w:tcBorders>
          </w:tcPr>
          <w:p w14:paraId="3D6C0E79" w14:textId="06701B07" w:rsidR="006576B8" w:rsidRDefault="00B67749">
            <w:pPr>
              <w:pStyle w:val="TableParagraph"/>
              <w:spacing w:before="115"/>
              <w:ind w:left="132" w:right="120"/>
              <w:jc w:val="center"/>
            </w:pPr>
            <w:r w:rsidRPr="001D163B">
              <w:rPr>
                <w:rFonts w:ascii="Palatino Linotype" w:hAnsi="Palatino Linotype"/>
                <w:color w:val="000000"/>
              </w:rPr>
              <w:t>Students learn about the cultural contexts and manifestations of the peoples who speak the language that they are studying. </w:t>
            </w:r>
          </w:p>
        </w:tc>
        <w:tc>
          <w:tcPr>
            <w:tcW w:w="2335" w:type="dxa"/>
            <w:tcBorders>
              <w:top w:val="nil"/>
            </w:tcBorders>
          </w:tcPr>
          <w:p w14:paraId="7574123E" w14:textId="77777777" w:rsidR="006576B8" w:rsidRDefault="006576B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0ECD002" w14:textId="77777777" w:rsidR="006576B8" w:rsidRDefault="006576B8">
            <w:pPr>
              <w:pStyle w:val="TableParagraph"/>
              <w:spacing w:before="11"/>
              <w:ind w:left="0"/>
              <w:rPr>
                <w:b/>
                <w:i/>
                <w:sz w:val="18"/>
              </w:rPr>
            </w:pPr>
          </w:p>
          <w:p w14:paraId="17F49D64" w14:textId="3AA6ED11" w:rsidR="006576B8" w:rsidRDefault="00FD4A86">
            <w:pPr>
              <w:pStyle w:val="TableParagraph"/>
              <w:ind w:left="275" w:right="262" w:hanging="2"/>
              <w:jc w:val="center"/>
            </w:pPr>
            <w:r>
              <w:t xml:space="preserve">GE ELO Scoring Rubric-based evaluation of </w:t>
            </w:r>
            <w:r w:rsidRPr="00B67749">
              <w:rPr>
                <w:b/>
              </w:rPr>
              <w:t xml:space="preserve">Final </w:t>
            </w:r>
            <w:r w:rsidR="00B67749" w:rsidRPr="00B67749">
              <w:rPr>
                <w:b/>
              </w:rPr>
              <w:t>presentation</w:t>
            </w:r>
            <w:r w:rsidR="00B67749">
              <w:t xml:space="preserve"> </w:t>
            </w:r>
            <w:r>
              <w:t>(Appendix A)</w:t>
            </w:r>
          </w:p>
        </w:tc>
        <w:tc>
          <w:tcPr>
            <w:tcW w:w="2335" w:type="dxa"/>
            <w:tcBorders>
              <w:top w:val="nil"/>
            </w:tcBorders>
          </w:tcPr>
          <w:p w14:paraId="1E46D5CE" w14:textId="77777777" w:rsidR="006576B8" w:rsidRDefault="006576B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E8501F6" w14:textId="77777777" w:rsidR="006576B8" w:rsidRDefault="006576B8">
            <w:pPr>
              <w:pStyle w:val="TableParagraph"/>
              <w:spacing w:before="10"/>
              <w:ind w:left="0"/>
              <w:rPr>
                <w:b/>
                <w:i/>
                <w:sz w:val="18"/>
              </w:rPr>
            </w:pPr>
          </w:p>
          <w:p w14:paraId="6FA90C73" w14:textId="77777777" w:rsidR="006576B8" w:rsidRDefault="00FD4A86">
            <w:pPr>
              <w:pStyle w:val="TableParagraph"/>
              <w:spacing w:before="1"/>
              <w:ind w:left="132" w:right="120"/>
              <w:jc w:val="center"/>
            </w:pPr>
            <w:r>
              <w:t>100% of students</w:t>
            </w:r>
          </w:p>
          <w:p w14:paraId="434F8450" w14:textId="77777777" w:rsidR="006576B8" w:rsidRDefault="00FD4A86">
            <w:pPr>
              <w:pStyle w:val="TableParagraph"/>
              <w:spacing w:before="1" w:line="252" w:lineRule="exact"/>
              <w:ind w:left="132" w:right="121"/>
              <w:jc w:val="center"/>
            </w:pPr>
            <w:proofErr w:type="gramStart"/>
            <w:r>
              <w:t>meeting</w:t>
            </w:r>
            <w:proofErr w:type="gramEnd"/>
            <w:r>
              <w:t xml:space="preserve"> milestone 2.</w:t>
            </w:r>
          </w:p>
          <w:p w14:paraId="5C93BBEA" w14:textId="77777777" w:rsidR="006576B8" w:rsidRDefault="00FD4A86">
            <w:pPr>
              <w:pStyle w:val="TableParagraph"/>
              <w:spacing w:line="252" w:lineRule="exact"/>
              <w:ind w:left="129" w:right="122"/>
              <w:jc w:val="center"/>
            </w:pPr>
            <w:r>
              <w:t>70% of students</w:t>
            </w:r>
          </w:p>
          <w:p w14:paraId="2A9CEB75" w14:textId="77777777" w:rsidR="006576B8" w:rsidRDefault="00FD4A86">
            <w:pPr>
              <w:pStyle w:val="TableParagraph"/>
              <w:spacing w:line="252" w:lineRule="exact"/>
              <w:ind w:left="132" w:right="119"/>
              <w:jc w:val="center"/>
            </w:pPr>
            <w:r>
              <w:t>meeting milestone 3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 w14:paraId="6101AD1C" w14:textId="77777777" w:rsidR="006576B8" w:rsidRDefault="006576B8">
            <w:pPr>
              <w:rPr>
                <w:sz w:val="2"/>
                <w:szCs w:val="2"/>
              </w:rPr>
            </w:pPr>
          </w:p>
        </w:tc>
      </w:tr>
      <w:tr w:rsidR="006576B8" w14:paraId="317893EB" w14:textId="77777777">
        <w:trPr>
          <w:trHeight w:val="375"/>
        </w:trPr>
        <w:tc>
          <w:tcPr>
            <w:tcW w:w="2335" w:type="dxa"/>
            <w:tcBorders>
              <w:bottom w:val="nil"/>
            </w:tcBorders>
          </w:tcPr>
          <w:p w14:paraId="7657A47C" w14:textId="77777777" w:rsidR="006576B8" w:rsidRDefault="00FD4A86">
            <w:pPr>
              <w:pStyle w:val="TableParagraph"/>
              <w:spacing w:line="251" w:lineRule="exact"/>
              <w:ind w:left="851"/>
              <w:rPr>
                <w:b/>
              </w:rPr>
            </w:pPr>
            <w:r>
              <w:rPr>
                <w:b/>
                <w:u w:val="thick"/>
              </w:rPr>
              <w:t>ELO 3</w:t>
            </w:r>
          </w:p>
        </w:tc>
        <w:tc>
          <w:tcPr>
            <w:tcW w:w="2335" w:type="dxa"/>
            <w:tcBorders>
              <w:bottom w:val="nil"/>
            </w:tcBorders>
          </w:tcPr>
          <w:p w14:paraId="1B4E2B93" w14:textId="77777777" w:rsidR="006576B8" w:rsidRDefault="00657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5" w:type="dxa"/>
            <w:tcBorders>
              <w:bottom w:val="nil"/>
            </w:tcBorders>
          </w:tcPr>
          <w:p w14:paraId="20EA6A11" w14:textId="77777777" w:rsidR="006576B8" w:rsidRDefault="00657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14:paraId="5BF3C279" w14:textId="77777777" w:rsidR="006576B8" w:rsidRDefault="006576B8">
            <w:pPr>
              <w:rPr>
                <w:sz w:val="2"/>
                <w:szCs w:val="2"/>
              </w:rPr>
            </w:pPr>
          </w:p>
        </w:tc>
      </w:tr>
      <w:tr w:rsidR="006576B8" w14:paraId="633C2676" w14:textId="77777777">
        <w:trPr>
          <w:trHeight w:val="2818"/>
        </w:trPr>
        <w:tc>
          <w:tcPr>
            <w:tcW w:w="2335" w:type="dxa"/>
            <w:tcBorders>
              <w:top w:val="nil"/>
            </w:tcBorders>
          </w:tcPr>
          <w:p w14:paraId="79CF70CA" w14:textId="77C52B3B" w:rsidR="006576B8" w:rsidRDefault="00B67749">
            <w:pPr>
              <w:pStyle w:val="TableParagraph"/>
              <w:spacing w:before="115"/>
              <w:ind w:left="117" w:right="108"/>
              <w:jc w:val="center"/>
            </w:pPr>
            <w:r w:rsidRPr="001D163B">
              <w:rPr>
                <w:rFonts w:ascii="Palatino Linotype" w:hAnsi="Palatino Linotype"/>
                <w:color w:val="000000"/>
              </w:rPr>
              <w:t>Students recognize and understand differences and similarities between the cultures and communities of the language that they are studying and their own.</w:t>
            </w:r>
          </w:p>
        </w:tc>
        <w:tc>
          <w:tcPr>
            <w:tcW w:w="2335" w:type="dxa"/>
            <w:tcBorders>
              <w:top w:val="nil"/>
            </w:tcBorders>
          </w:tcPr>
          <w:p w14:paraId="2626EE18" w14:textId="77777777" w:rsidR="006576B8" w:rsidRDefault="006576B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E88DA2C" w14:textId="77777777" w:rsidR="006576B8" w:rsidRDefault="006576B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2326A074" w14:textId="1316EB0F" w:rsidR="006576B8" w:rsidRDefault="00FD4A86">
            <w:pPr>
              <w:pStyle w:val="TableParagraph"/>
              <w:spacing w:before="150"/>
              <w:ind w:left="275" w:right="262" w:hanging="2"/>
              <w:jc w:val="center"/>
            </w:pPr>
            <w:r>
              <w:t xml:space="preserve">GE ELO Scoring Rubric-based evaluation of </w:t>
            </w:r>
            <w:r w:rsidRPr="00B67749">
              <w:rPr>
                <w:b/>
              </w:rPr>
              <w:t xml:space="preserve">Final </w:t>
            </w:r>
            <w:r w:rsidR="00B67749" w:rsidRPr="00B67749">
              <w:rPr>
                <w:b/>
              </w:rPr>
              <w:t>presentation</w:t>
            </w:r>
            <w:r>
              <w:t xml:space="preserve"> (Appendix A)</w:t>
            </w:r>
          </w:p>
        </w:tc>
        <w:tc>
          <w:tcPr>
            <w:tcW w:w="2335" w:type="dxa"/>
            <w:tcBorders>
              <w:top w:val="nil"/>
            </w:tcBorders>
          </w:tcPr>
          <w:p w14:paraId="1BE64D25" w14:textId="77777777" w:rsidR="006576B8" w:rsidRDefault="006576B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6D2A5776" w14:textId="77777777" w:rsidR="006576B8" w:rsidRDefault="006576B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C6A2D9A" w14:textId="77777777" w:rsidR="006576B8" w:rsidRDefault="00FD4A86">
            <w:pPr>
              <w:pStyle w:val="TableParagraph"/>
              <w:spacing w:before="150"/>
              <w:ind w:left="132" w:right="120"/>
              <w:jc w:val="center"/>
            </w:pPr>
            <w:r>
              <w:t>100% of students</w:t>
            </w:r>
          </w:p>
          <w:p w14:paraId="6064176E" w14:textId="77777777" w:rsidR="006576B8" w:rsidRDefault="00FD4A86">
            <w:pPr>
              <w:pStyle w:val="TableParagraph"/>
              <w:spacing w:before="2" w:line="252" w:lineRule="exact"/>
              <w:ind w:left="132" w:right="121"/>
              <w:jc w:val="center"/>
            </w:pPr>
            <w:proofErr w:type="gramStart"/>
            <w:r>
              <w:t>meeting</w:t>
            </w:r>
            <w:proofErr w:type="gramEnd"/>
            <w:r>
              <w:t xml:space="preserve"> milestone 2.</w:t>
            </w:r>
          </w:p>
          <w:p w14:paraId="7AE3B06C" w14:textId="77777777" w:rsidR="006576B8" w:rsidRDefault="00FD4A86">
            <w:pPr>
              <w:pStyle w:val="TableParagraph"/>
              <w:spacing w:line="252" w:lineRule="exact"/>
              <w:ind w:left="129" w:right="122"/>
              <w:jc w:val="center"/>
            </w:pPr>
            <w:r>
              <w:t>70% of students</w:t>
            </w:r>
          </w:p>
          <w:p w14:paraId="0BF41ACB" w14:textId="77777777" w:rsidR="006576B8" w:rsidRDefault="00FD4A86">
            <w:pPr>
              <w:pStyle w:val="TableParagraph"/>
              <w:spacing w:before="1"/>
              <w:ind w:left="132" w:right="119"/>
              <w:jc w:val="center"/>
            </w:pPr>
            <w:r>
              <w:t>meeting milestone 3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 w14:paraId="2EB4A574" w14:textId="77777777" w:rsidR="006576B8" w:rsidRDefault="006576B8">
            <w:pPr>
              <w:rPr>
                <w:sz w:val="2"/>
                <w:szCs w:val="2"/>
              </w:rPr>
            </w:pPr>
          </w:p>
        </w:tc>
      </w:tr>
    </w:tbl>
    <w:p w14:paraId="159C561C" w14:textId="77777777" w:rsidR="006576B8" w:rsidRDefault="006576B8">
      <w:pPr>
        <w:rPr>
          <w:sz w:val="2"/>
          <w:szCs w:val="2"/>
        </w:rPr>
        <w:sectPr w:rsidR="006576B8">
          <w:type w:val="continuous"/>
          <w:pgSz w:w="12240" w:h="15840"/>
          <w:pgMar w:top="1360" w:right="780" w:bottom="280" w:left="620" w:header="720" w:footer="720" w:gutter="0"/>
          <w:cols w:space="720"/>
        </w:sectPr>
      </w:pPr>
    </w:p>
    <w:p w14:paraId="29A03076" w14:textId="58BB7086" w:rsidR="006576B8" w:rsidRDefault="00FD4A86">
      <w:pPr>
        <w:spacing w:before="72"/>
        <w:ind w:left="2584"/>
        <w:rPr>
          <w:b/>
          <w:sz w:val="24"/>
        </w:rPr>
      </w:pPr>
      <w:bookmarkStart w:id="2" w:name="Pharmacy_2367_Appendices_2016-2017_20"/>
      <w:bookmarkEnd w:id="2"/>
      <w:r>
        <w:rPr>
          <w:b/>
          <w:sz w:val="24"/>
        </w:rPr>
        <w:lastRenderedPageBreak/>
        <w:t xml:space="preserve">Appendix A: </w:t>
      </w:r>
      <w:r w:rsidR="00B67749">
        <w:rPr>
          <w:b/>
          <w:sz w:val="24"/>
        </w:rPr>
        <w:t>SPAN 1113</w:t>
      </w:r>
      <w:r>
        <w:rPr>
          <w:b/>
          <w:sz w:val="24"/>
        </w:rPr>
        <w:t>: GE Outcome Scoring Rubric</w:t>
      </w:r>
    </w:p>
    <w:p w14:paraId="016FF2DE" w14:textId="77777777" w:rsidR="006576B8" w:rsidRDefault="006576B8">
      <w:pPr>
        <w:pStyle w:val="BodyText"/>
        <w:spacing w:before="7"/>
        <w:rPr>
          <w:b/>
          <w:sz w:val="23"/>
        </w:rPr>
      </w:pPr>
    </w:p>
    <w:p w14:paraId="3EC4D383" w14:textId="1DD08E30" w:rsidR="006576B8" w:rsidRDefault="00FD4A86">
      <w:pPr>
        <w:pStyle w:val="BodyText"/>
        <w:ind w:left="100" w:right="88"/>
      </w:pPr>
      <w:r>
        <w:t>Instructor will put an “x” in the appropriate cell for each ELO and each student based upon their final p</w:t>
      </w:r>
      <w:r w:rsidR="008F2718">
        <w:t>resentation</w:t>
      </w:r>
      <w:r>
        <w:t>. The instructor will then compile the number of students who met each milestone (1-4) for each of the ELOs, and this is how the data will be reported (i.e. ELO1: 3 students achieved level 4, 6 students level 3, 15 students level 2, and 4 students level 1).</w:t>
      </w:r>
    </w:p>
    <w:p w14:paraId="1FF33085" w14:textId="77777777" w:rsidR="006576B8" w:rsidRDefault="006576B8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2011"/>
        <w:gridCol w:w="1971"/>
        <w:gridCol w:w="1956"/>
        <w:gridCol w:w="1943"/>
      </w:tblGrid>
      <w:tr w:rsidR="006576B8" w14:paraId="13060641" w14:textId="77777777" w:rsidTr="005F25B9">
        <w:trPr>
          <w:trHeight w:val="570"/>
        </w:trPr>
        <w:tc>
          <w:tcPr>
            <w:tcW w:w="2936" w:type="dxa"/>
          </w:tcPr>
          <w:p w14:paraId="4F991AC8" w14:textId="77777777" w:rsidR="006576B8" w:rsidRDefault="006576B8">
            <w:pPr>
              <w:pStyle w:val="TableParagraph"/>
              <w:ind w:left="0"/>
            </w:pPr>
          </w:p>
        </w:tc>
        <w:tc>
          <w:tcPr>
            <w:tcW w:w="2011" w:type="dxa"/>
          </w:tcPr>
          <w:p w14:paraId="3FA55AE6" w14:textId="77777777" w:rsidR="006576B8" w:rsidRPr="00361CDA" w:rsidRDefault="00FD4A86">
            <w:pPr>
              <w:pStyle w:val="TableParagraph"/>
              <w:spacing w:line="247" w:lineRule="exact"/>
              <w:rPr>
                <w:b/>
              </w:rPr>
            </w:pPr>
            <w:r w:rsidRPr="00361CDA">
              <w:rPr>
                <w:b/>
              </w:rPr>
              <w:t>Capstone</w:t>
            </w:r>
          </w:p>
          <w:p w14:paraId="459D0724" w14:textId="77777777" w:rsidR="006576B8" w:rsidRPr="00361CDA" w:rsidRDefault="00FD4A86">
            <w:pPr>
              <w:pStyle w:val="TableParagraph"/>
              <w:spacing w:before="40"/>
              <w:rPr>
                <w:b/>
              </w:rPr>
            </w:pPr>
            <w:r w:rsidRPr="00361CDA">
              <w:rPr>
                <w:b/>
              </w:rPr>
              <w:t>(4)</w:t>
            </w:r>
          </w:p>
        </w:tc>
        <w:tc>
          <w:tcPr>
            <w:tcW w:w="1971" w:type="dxa"/>
          </w:tcPr>
          <w:p w14:paraId="3427C4E6" w14:textId="77777777" w:rsidR="006576B8" w:rsidRPr="00361CDA" w:rsidRDefault="00FD4A86" w:rsidP="005F25B9">
            <w:pPr>
              <w:pStyle w:val="TableParagraph"/>
              <w:spacing w:line="247" w:lineRule="exact"/>
              <w:rPr>
                <w:b/>
              </w:rPr>
            </w:pPr>
            <w:r w:rsidRPr="00361CDA">
              <w:rPr>
                <w:b/>
              </w:rPr>
              <w:t>Milestone</w:t>
            </w:r>
          </w:p>
          <w:p w14:paraId="74B976B4" w14:textId="77777777" w:rsidR="006576B8" w:rsidRPr="00361CDA" w:rsidRDefault="00FD4A86" w:rsidP="005F25B9">
            <w:pPr>
              <w:pStyle w:val="TableParagraph"/>
              <w:spacing w:before="40"/>
              <w:rPr>
                <w:b/>
              </w:rPr>
            </w:pPr>
            <w:r w:rsidRPr="00361CDA">
              <w:rPr>
                <w:b/>
              </w:rPr>
              <w:t>(3)</w:t>
            </w:r>
          </w:p>
        </w:tc>
        <w:tc>
          <w:tcPr>
            <w:tcW w:w="1956" w:type="dxa"/>
          </w:tcPr>
          <w:p w14:paraId="0A0BDEB7" w14:textId="77777777" w:rsidR="006576B8" w:rsidRPr="00361CDA" w:rsidRDefault="00FD4A86">
            <w:pPr>
              <w:pStyle w:val="TableParagraph"/>
              <w:spacing w:line="247" w:lineRule="exact"/>
              <w:ind w:left="106"/>
              <w:rPr>
                <w:b/>
              </w:rPr>
            </w:pPr>
            <w:r w:rsidRPr="00361CDA">
              <w:rPr>
                <w:b/>
              </w:rPr>
              <w:t>Milestone</w:t>
            </w:r>
          </w:p>
          <w:p w14:paraId="046BC7C2" w14:textId="77777777" w:rsidR="006576B8" w:rsidRPr="00361CDA" w:rsidRDefault="00FD4A86">
            <w:pPr>
              <w:pStyle w:val="TableParagraph"/>
              <w:spacing w:before="40"/>
              <w:ind w:left="106"/>
              <w:rPr>
                <w:b/>
              </w:rPr>
            </w:pPr>
            <w:r w:rsidRPr="00361CDA">
              <w:rPr>
                <w:b/>
              </w:rPr>
              <w:t>(2)</w:t>
            </w:r>
          </w:p>
        </w:tc>
        <w:tc>
          <w:tcPr>
            <w:tcW w:w="1943" w:type="dxa"/>
          </w:tcPr>
          <w:p w14:paraId="35DB1693" w14:textId="77777777" w:rsidR="006576B8" w:rsidRPr="00361CDA" w:rsidRDefault="00FD4A86">
            <w:pPr>
              <w:pStyle w:val="TableParagraph"/>
              <w:spacing w:line="247" w:lineRule="exact"/>
              <w:ind w:left="105"/>
              <w:rPr>
                <w:b/>
              </w:rPr>
            </w:pPr>
            <w:r w:rsidRPr="00361CDA">
              <w:rPr>
                <w:b/>
              </w:rPr>
              <w:t>Benchmark</w:t>
            </w:r>
          </w:p>
          <w:p w14:paraId="30FDC89D" w14:textId="77777777" w:rsidR="006576B8" w:rsidRPr="00361CDA" w:rsidRDefault="00FD4A86">
            <w:pPr>
              <w:pStyle w:val="TableParagraph"/>
              <w:spacing w:before="40"/>
              <w:ind w:left="105"/>
              <w:rPr>
                <w:b/>
              </w:rPr>
            </w:pPr>
            <w:r w:rsidRPr="00361CDA">
              <w:rPr>
                <w:b/>
              </w:rPr>
              <w:t>(1)</w:t>
            </w:r>
          </w:p>
        </w:tc>
      </w:tr>
      <w:tr w:rsidR="005F25B9" w:rsidRPr="00361CDA" w14:paraId="3729A0B7" w14:textId="77777777" w:rsidTr="005F25B9">
        <w:trPr>
          <w:trHeight w:val="266"/>
        </w:trPr>
        <w:tc>
          <w:tcPr>
            <w:tcW w:w="2936" w:type="dxa"/>
            <w:tcBorders>
              <w:bottom w:val="nil"/>
            </w:tcBorders>
          </w:tcPr>
          <w:p w14:paraId="692AAF92" w14:textId="77777777" w:rsidR="005F25B9" w:rsidRPr="00361CDA" w:rsidRDefault="005F25B9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361CDA">
              <w:rPr>
                <w:b/>
                <w:sz w:val="24"/>
                <w:szCs w:val="24"/>
              </w:rPr>
              <w:t>(ELO 1)</w:t>
            </w:r>
          </w:p>
        </w:tc>
        <w:tc>
          <w:tcPr>
            <w:tcW w:w="2011" w:type="dxa"/>
            <w:vMerge w:val="restart"/>
          </w:tcPr>
          <w:p w14:paraId="7C4BA390" w14:textId="77777777" w:rsidR="005F25B9" w:rsidRPr="00361CDA" w:rsidRDefault="005F25B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 xml:space="preserve">Student use </w:t>
            </w:r>
          </w:p>
          <w:p w14:paraId="7CCEC2E5" w14:textId="77777777" w:rsidR="005F25B9" w:rsidRPr="00361CDA" w:rsidRDefault="005F25B9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361CDA">
              <w:rPr>
                <w:color w:val="000000"/>
                <w:sz w:val="24"/>
                <w:szCs w:val="24"/>
              </w:rPr>
              <w:t>grammar structures of the language</w:t>
            </w:r>
          </w:p>
          <w:p w14:paraId="624D3A29" w14:textId="4E63ADB4" w:rsidR="005F25B9" w:rsidRPr="00361CDA" w:rsidRDefault="005F25B9" w:rsidP="001934AD">
            <w:pPr>
              <w:pStyle w:val="TableParagraph"/>
              <w:spacing w:before="12"/>
              <w:rPr>
                <w:sz w:val="24"/>
                <w:szCs w:val="24"/>
              </w:rPr>
            </w:pPr>
            <w:proofErr w:type="gramStart"/>
            <w:r w:rsidRPr="00361CDA">
              <w:rPr>
                <w:sz w:val="24"/>
                <w:szCs w:val="24"/>
              </w:rPr>
              <w:t>clearly</w:t>
            </w:r>
            <w:proofErr w:type="gramEnd"/>
            <w:r w:rsidRPr="00361CDA">
              <w:rPr>
                <w:sz w:val="24"/>
                <w:szCs w:val="24"/>
              </w:rPr>
              <w:t xml:space="preserve"> through the written script and the oral presentation of their final project. They</w:t>
            </w:r>
            <w:r w:rsidR="001934AD" w:rsidRPr="00361CDA">
              <w:rPr>
                <w:sz w:val="24"/>
                <w:szCs w:val="24"/>
              </w:rPr>
              <w:t xml:space="preserve"> </w:t>
            </w:r>
            <w:r w:rsidRPr="00361CDA">
              <w:rPr>
                <w:sz w:val="24"/>
                <w:szCs w:val="24"/>
              </w:rPr>
              <w:t>demonstrate a</w:t>
            </w:r>
          </w:p>
          <w:p w14:paraId="47BD2DBB" w14:textId="77777777" w:rsidR="005F25B9" w:rsidRPr="00361CDA" w:rsidRDefault="005F25B9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361CDA">
              <w:rPr>
                <w:b/>
                <w:sz w:val="24"/>
                <w:szCs w:val="24"/>
              </w:rPr>
              <w:t xml:space="preserve">superior </w:t>
            </w:r>
            <w:r w:rsidRPr="00361CDA">
              <w:rPr>
                <w:sz w:val="24"/>
                <w:szCs w:val="24"/>
              </w:rPr>
              <w:t>ability to</w:t>
            </w:r>
          </w:p>
          <w:p w14:paraId="259E6A94" w14:textId="39CB2155" w:rsidR="005F25B9" w:rsidRPr="00361CDA" w:rsidRDefault="005F25B9" w:rsidP="00E60711">
            <w:pPr>
              <w:pStyle w:val="TableParagraph"/>
              <w:spacing w:before="12"/>
              <w:rPr>
                <w:sz w:val="24"/>
                <w:szCs w:val="24"/>
              </w:rPr>
            </w:pPr>
            <w:proofErr w:type="gramStart"/>
            <w:r w:rsidRPr="00361CDA">
              <w:rPr>
                <w:sz w:val="24"/>
                <w:szCs w:val="24"/>
              </w:rPr>
              <w:t>write</w:t>
            </w:r>
            <w:proofErr w:type="gramEnd"/>
            <w:r w:rsidRPr="00361CDA">
              <w:rPr>
                <w:sz w:val="24"/>
                <w:szCs w:val="24"/>
              </w:rPr>
              <w:t xml:space="preserve"> (script), speak (oral presentation), read (research of previous work) and listen (instructor questions) carefully.</w:t>
            </w:r>
          </w:p>
        </w:tc>
        <w:tc>
          <w:tcPr>
            <w:tcW w:w="1971" w:type="dxa"/>
            <w:vMerge w:val="restart"/>
          </w:tcPr>
          <w:p w14:paraId="35F73741" w14:textId="4AFD129C" w:rsidR="005F25B9" w:rsidRPr="00361CDA" w:rsidRDefault="005F25B9" w:rsidP="005F25B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 xml:space="preserve">Student </w:t>
            </w:r>
            <w:r w:rsidRPr="00361CDA">
              <w:rPr>
                <w:b/>
                <w:sz w:val="24"/>
                <w:szCs w:val="24"/>
              </w:rPr>
              <w:t>effectively</w:t>
            </w:r>
          </w:p>
          <w:p w14:paraId="680F9692" w14:textId="77777777" w:rsidR="005F25B9" w:rsidRPr="00361CDA" w:rsidRDefault="005F25B9" w:rsidP="005F25B9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expresses their</w:t>
            </w:r>
          </w:p>
          <w:p w14:paraId="655E4518" w14:textId="66404470" w:rsidR="005F25B9" w:rsidRPr="00361CDA" w:rsidRDefault="005F25B9" w:rsidP="005F25B9">
            <w:pPr>
              <w:pStyle w:val="TableParagraph"/>
              <w:spacing w:before="13"/>
              <w:ind w:left="0"/>
              <w:rPr>
                <w:sz w:val="24"/>
                <w:szCs w:val="24"/>
              </w:rPr>
            </w:pPr>
            <w:proofErr w:type="gramStart"/>
            <w:r w:rsidRPr="00361CDA">
              <w:rPr>
                <w:sz w:val="24"/>
                <w:szCs w:val="24"/>
              </w:rPr>
              <w:t>ideas</w:t>
            </w:r>
            <w:proofErr w:type="gramEnd"/>
            <w:r w:rsidRPr="00361CDA">
              <w:rPr>
                <w:sz w:val="24"/>
                <w:szCs w:val="24"/>
              </w:rPr>
              <w:t xml:space="preserve"> and shows ability to write (script), speak (oral presentation), read (research of previous work) and listen (instructor questions) carefully.</w:t>
            </w:r>
          </w:p>
          <w:p w14:paraId="740FDE11" w14:textId="36710B88" w:rsidR="005F25B9" w:rsidRPr="00361CDA" w:rsidRDefault="005F25B9" w:rsidP="001934A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Student</w:t>
            </w:r>
            <w:r w:rsidR="001934AD" w:rsidRPr="00361CDA">
              <w:rPr>
                <w:sz w:val="24"/>
                <w:szCs w:val="24"/>
              </w:rPr>
              <w:t xml:space="preserve"> </w:t>
            </w:r>
            <w:r w:rsidRPr="00361CDA">
              <w:rPr>
                <w:sz w:val="24"/>
                <w:szCs w:val="24"/>
              </w:rPr>
              <w:t xml:space="preserve">demonstrates </w:t>
            </w:r>
          </w:p>
          <w:p w14:paraId="1FC723B2" w14:textId="77777777" w:rsidR="005F25B9" w:rsidRPr="00361CDA" w:rsidRDefault="005F25B9" w:rsidP="001934A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critical analysis of</w:t>
            </w:r>
          </w:p>
          <w:p w14:paraId="496B70E1" w14:textId="7C719CB5" w:rsidR="005F25B9" w:rsidRPr="00361CDA" w:rsidRDefault="005F25B9" w:rsidP="001934A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proofErr w:type="gramStart"/>
            <w:r w:rsidRPr="00361CDA">
              <w:rPr>
                <w:sz w:val="24"/>
                <w:szCs w:val="24"/>
              </w:rPr>
              <w:t>class</w:t>
            </w:r>
            <w:proofErr w:type="gramEnd"/>
            <w:r w:rsidRPr="00361CDA">
              <w:rPr>
                <w:sz w:val="24"/>
                <w:szCs w:val="24"/>
              </w:rPr>
              <w:t xml:space="preserve"> materials.</w:t>
            </w:r>
          </w:p>
        </w:tc>
        <w:tc>
          <w:tcPr>
            <w:tcW w:w="1956" w:type="dxa"/>
            <w:vMerge w:val="restart"/>
          </w:tcPr>
          <w:p w14:paraId="7782891A" w14:textId="151C1BAC" w:rsidR="005F25B9" w:rsidRPr="00361CDA" w:rsidRDefault="005F25B9" w:rsidP="005F25B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 xml:space="preserve">Student </w:t>
            </w:r>
            <w:r w:rsidRPr="00361CDA">
              <w:rPr>
                <w:b/>
                <w:sz w:val="24"/>
                <w:szCs w:val="24"/>
              </w:rPr>
              <w:t xml:space="preserve">is able to maintain </w:t>
            </w:r>
            <w:r w:rsidRPr="00361CDA">
              <w:rPr>
                <w:sz w:val="24"/>
                <w:szCs w:val="24"/>
              </w:rPr>
              <w:t xml:space="preserve">a fluid narrative and </w:t>
            </w:r>
          </w:p>
          <w:p w14:paraId="65D290DF" w14:textId="0A2CC8EE" w:rsidR="005F25B9" w:rsidRPr="00361CDA" w:rsidRDefault="005F25B9" w:rsidP="005F25B9">
            <w:pPr>
              <w:pStyle w:val="TableParagraph"/>
              <w:spacing w:before="12"/>
              <w:ind w:left="0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 xml:space="preserve">expresses some </w:t>
            </w:r>
          </w:p>
          <w:p w14:paraId="3152DCF9" w14:textId="1D83AFC3" w:rsidR="005F25B9" w:rsidRPr="00361CDA" w:rsidRDefault="005F25B9" w:rsidP="005F25B9">
            <w:pPr>
              <w:pStyle w:val="TableParagraph"/>
              <w:spacing w:before="13"/>
              <w:ind w:left="0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ideas clearly, but</w:t>
            </w:r>
          </w:p>
          <w:p w14:paraId="52F40463" w14:textId="77777777" w:rsidR="005F25B9" w:rsidRPr="00361CDA" w:rsidRDefault="005F25B9" w:rsidP="005F25B9">
            <w:pPr>
              <w:pStyle w:val="TableParagraph"/>
              <w:spacing w:before="13"/>
              <w:ind w:left="0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shows room for</w:t>
            </w:r>
          </w:p>
          <w:p w14:paraId="5A0CA08A" w14:textId="21BFB129" w:rsidR="005F25B9" w:rsidRPr="00361CDA" w:rsidRDefault="005F25B9" w:rsidP="005F25B9">
            <w:pPr>
              <w:pStyle w:val="TableParagraph"/>
              <w:spacing w:before="13"/>
              <w:ind w:left="0"/>
              <w:rPr>
                <w:sz w:val="24"/>
                <w:szCs w:val="24"/>
              </w:rPr>
            </w:pPr>
            <w:proofErr w:type="gramStart"/>
            <w:r w:rsidRPr="00361CDA">
              <w:rPr>
                <w:sz w:val="24"/>
                <w:szCs w:val="24"/>
              </w:rPr>
              <w:t>improvement</w:t>
            </w:r>
            <w:proofErr w:type="gramEnd"/>
            <w:r w:rsidRPr="00361CDA">
              <w:rPr>
                <w:sz w:val="24"/>
                <w:szCs w:val="24"/>
              </w:rPr>
              <w:t xml:space="preserve"> in writing (script), speaking (oral presentation), reading (research of previous work) and listening (instructor questions) carefully.</w:t>
            </w:r>
          </w:p>
          <w:p w14:paraId="39D63BA9" w14:textId="51FC38C7" w:rsidR="005F25B9" w:rsidRPr="00361CDA" w:rsidRDefault="005F25B9" w:rsidP="005F25B9">
            <w:pPr>
              <w:pStyle w:val="TableParagraph"/>
              <w:spacing w:before="11"/>
              <w:ind w:left="106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14:paraId="28D89D1A" w14:textId="77777777" w:rsidR="005F25B9" w:rsidRPr="00361CDA" w:rsidRDefault="005F25B9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Student</w:t>
            </w:r>
          </w:p>
          <w:p w14:paraId="190FAED0" w14:textId="77777777" w:rsidR="005F25B9" w:rsidRPr="00361CDA" w:rsidRDefault="005F25B9">
            <w:pPr>
              <w:pStyle w:val="TableParagraph"/>
              <w:spacing w:before="12"/>
              <w:ind w:left="105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demonstrates</w:t>
            </w:r>
          </w:p>
          <w:p w14:paraId="09B2162A" w14:textId="77777777" w:rsidR="005F25B9" w:rsidRPr="00361CDA" w:rsidRDefault="005F25B9" w:rsidP="005F25B9">
            <w:pPr>
              <w:pStyle w:val="TableParagraph"/>
              <w:spacing w:before="12"/>
              <w:ind w:left="0"/>
              <w:rPr>
                <w:sz w:val="24"/>
                <w:szCs w:val="24"/>
              </w:rPr>
            </w:pPr>
            <w:r w:rsidRPr="00361CDA">
              <w:rPr>
                <w:b/>
                <w:sz w:val="24"/>
                <w:szCs w:val="24"/>
              </w:rPr>
              <w:t>limited ability</w:t>
            </w:r>
            <w:r w:rsidRPr="00361CDA">
              <w:rPr>
                <w:sz w:val="24"/>
                <w:szCs w:val="24"/>
              </w:rPr>
              <w:t xml:space="preserve"> to</w:t>
            </w:r>
          </w:p>
          <w:p w14:paraId="006E2B67" w14:textId="77777777" w:rsidR="005F25B9" w:rsidRPr="00361CDA" w:rsidRDefault="005F25B9" w:rsidP="005F25B9">
            <w:pPr>
              <w:pStyle w:val="TableParagraph"/>
              <w:spacing w:before="13"/>
              <w:ind w:left="0"/>
              <w:rPr>
                <w:sz w:val="24"/>
                <w:szCs w:val="24"/>
              </w:rPr>
            </w:pPr>
            <w:proofErr w:type="gramStart"/>
            <w:r w:rsidRPr="00361CDA">
              <w:rPr>
                <w:sz w:val="24"/>
                <w:szCs w:val="24"/>
              </w:rPr>
              <w:t>to</w:t>
            </w:r>
            <w:proofErr w:type="gramEnd"/>
            <w:r w:rsidRPr="00361CDA">
              <w:rPr>
                <w:sz w:val="24"/>
                <w:szCs w:val="24"/>
              </w:rPr>
              <w:t xml:space="preserve"> write (script), speak (oral presentation), read (research of previous work) and listen (instructor questions) carefully.</w:t>
            </w:r>
          </w:p>
          <w:p w14:paraId="6ABB86A7" w14:textId="507054B3" w:rsidR="005F25B9" w:rsidRPr="00361CDA" w:rsidRDefault="005F25B9" w:rsidP="00865CC1">
            <w:pPr>
              <w:pStyle w:val="TableParagraph"/>
              <w:spacing w:before="13"/>
              <w:ind w:left="105"/>
              <w:rPr>
                <w:sz w:val="24"/>
                <w:szCs w:val="24"/>
              </w:rPr>
            </w:pPr>
          </w:p>
        </w:tc>
      </w:tr>
      <w:tr w:rsidR="005F25B9" w:rsidRPr="00361CDA" w14:paraId="48E7F88C" w14:textId="77777777" w:rsidTr="005F25B9">
        <w:trPr>
          <w:trHeight w:val="3827"/>
        </w:trPr>
        <w:tc>
          <w:tcPr>
            <w:tcW w:w="2936" w:type="dxa"/>
            <w:tcBorders>
              <w:top w:val="nil"/>
              <w:bottom w:val="single" w:sz="4" w:space="0" w:color="000000"/>
            </w:tcBorders>
          </w:tcPr>
          <w:p w14:paraId="678D63B7" w14:textId="77777777" w:rsidR="005F25B9" w:rsidRPr="00361CDA" w:rsidRDefault="005F25B9" w:rsidP="001D2F88">
            <w:pPr>
              <w:pStyle w:val="NormalWe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demonstrate basic communicative skills (e.g., listening, speaking, reading, and writing) in a language other than their native language.</w:t>
            </w:r>
          </w:p>
          <w:p w14:paraId="53076379" w14:textId="36376136" w:rsidR="005F25B9" w:rsidRPr="00361CDA" w:rsidRDefault="005F25B9" w:rsidP="00F462E0">
            <w:pPr>
              <w:pStyle w:val="TableParagraph"/>
              <w:spacing w:before="18"/>
              <w:rPr>
                <w:b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bottom w:val="single" w:sz="4" w:space="0" w:color="000000"/>
            </w:tcBorders>
          </w:tcPr>
          <w:p w14:paraId="5D7FEE60" w14:textId="0A371578" w:rsidR="005F25B9" w:rsidRPr="00361CDA" w:rsidRDefault="005F25B9" w:rsidP="00E17CFD">
            <w:pPr>
              <w:pStyle w:val="TableParagraph"/>
              <w:spacing w:before="13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bottom w:val="single" w:sz="4" w:space="0" w:color="000000"/>
            </w:tcBorders>
          </w:tcPr>
          <w:p w14:paraId="0FE8B56A" w14:textId="78CE0DE7" w:rsidR="005F25B9" w:rsidRPr="00361CDA" w:rsidRDefault="005F25B9" w:rsidP="00D178E9">
            <w:pPr>
              <w:pStyle w:val="TableParagraph"/>
              <w:spacing w:before="11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14:paraId="6D84637E" w14:textId="6AD8C691" w:rsidR="005F25B9" w:rsidRPr="00361CDA" w:rsidRDefault="005F25B9" w:rsidP="00A4485F">
            <w:pPr>
              <w:pStyle w:val="TableParagraph"/>
              <w:spacing w:before="11"/>
              <w:ind w:left="106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bottom w:val="single" w:sz="4" w:space="0" w:color="000000"/>
            </w:tcBorders>
          </w:tcPr>
          <w:p w14:paraId="0AE9DDA0" w14:textId="4E0A56EE" w:rsidR="005F25B9" w:rsidRPr="00361CDA" w:rsidRDefault="005F25B9" w:rsidP="00865CC1">
            <w:pPr>
              <w:pStyle w:val="TableParagraph"/>
              <w:spacing w:before="13"/>
              <w:ind w:left="105"/>
              <w:rPr>
                <w:sz w:val="24"/>
                <w:szCs w:val="24"/>
              </w:rPr>
            </w:pPr>
          </w:p>
        </w:tc>
      </w:tr>
      <w:tr w:rsidR="00124DE8" w:rsidRPr="00361CDA" w14:paraId="7270987F" w14:textId="77777777" w:rsidTr="00124DE8">
        <w:trPr>
          <w:trHeight w:val="2904"/>
        </w:trPr>
        <w:tc>
          <w:tcPr>
            <w:tcW w:w="2936" w:type="dxa"/>
          </w:tcPr>
          <w:p w14:paraId="711C985F" w14:textId="77777777" w:rsidR="00124DE8" w:rsidRPr="00361CDA" w:rsidRDefault="00124DE8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361CDA">
              <w:rPr>
                <w:b/>
                <w:sz w:val="24"/>
                <w:szCs w:val="24"/>
              </w:rPr>
              <w:t>(ELO2)</w:t>
            </w:r>
          </w:p>
          <w:p w14:paraId="2E789699" w14:textId="710E5E62" w:rsidR="00124DE8" w:rsidRPr="00361CDA" w:rsidRDefault="00124DE8" w:rsidP="00E7161D">
            <w:pPr>
              <w:pStyle w:val="TableParagraph"/>
              <w:spacing w:before="18"/>
              <w:rPr>
                <w:b/>
                <w:sz w:val="24"/>
                <w:szCs w:val="24"/>
              </w:rPr>
            </w:pPr>
            <w:r w:rsidRPr="00361CDA">
              <w:rPr>
                <w:color w:val="000000"/>
                <w:sz w:val="24"/>
                <w:szCs w:val="24"/>
              </w:rPr>
              <w:t>Students learn about the cultural contexts and manifestations of the peoples who speak the language that they are studying. </w:t>
            </w:r>
          </w:p>
        </w:tc>
        <w:tc>
          <w:tcPr>
            <w:tcW w:w="2011" w:type="dxa"/>
          </w:tcPr>
          <w:p w14:paraId="00301D8A" w14:textId="77777777" w:rsidR="00124DE8" w:rsidRPr="00361CDA" w:rsidRDefault="00124DE8" w:rsidP="005F25B9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Student</w:t>
            </w:r>
          </w:p>
          <w:p w14:paraId="50E9DFF8" w14:textId="77777777" w:rsidR="00124DE8" w:rsidRPr="00361CDA" w:rsidRDefault="00124DE8" w:rsidP="005F25B9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demonstrates these</w:t>
            </w:r>
          </w:p>
          <w:p w14:paraId="374206B6" w14:textId="77777777" w:rsidR="00124DE8" w:rsidRPr="00361CDA" w:rsidRDefault="00124DE8" w:rsidP="005F25B9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abilities through</w:t>
            </w:r>
          </w:p>
          <w:p w14:paraId="63364558" w14:textId="2A0C45A6" w:rsidR="00124DE8" w:rsidRPr="00361CDA" w:rsidRDefault="00124DE8" w:rsidP="00E5415D">
            <w:pPr>
              <w:pStyle w:val="TableParagraph"/>
              <w:spacing w:before="11"/>
              <w:rPr>
                <w:sz w:val="24"/>
                <w:szCs w:val="24"/>
              </w:rPr>
            </w:pPr>
            <w:proofErr w:type="gramStart"/>
            <w:r w:rsidRPr="00361CDA">
              <w:rPr>
                <w:b/>
                <w:sz w:val="24"/>
                <w:szCs w:val="24"/>
              </w:rPr>
              <w:t>superior</w:t>
            </w:r>
            <w:proofErr w:type="gramEnd"/>
            <w:r w:rsidRPr="00361CDA">
              <w:rPr>
                <w:sz w:val="24"/>
                <w:szCs w:val="24"/>
              </w:rPr>
              <w:t xml:space="preserve"> written critical analysis, spoken narrative, and class and instructor follow questions.</w:t>
            </w:r>
          </w:p>
        </w:tc>
        <w:tc>
          <w:tcPr>
            <w:tcW w:w="1971" w:type="dxa"/>
          </w:tcPr>
          <w:p w14:paraId="33946FF1" w14:textId="77777777" w:rsidR="00124DE8" w:rsidRPr="00361CDA" w:rsidRDefault="00124DE8" w:rsidP="00E5415D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Student</w:t>
            </w:r>
          </w:p>
          <w:p w14:paraId="340F3209" w14:textId="0FEDE817" w:rsidR="00124DE8" w:rsidRPr="00361CDA" w:rsidRDefault="00124DE8" w:rsidP="00124DE8">
            <w:pPr>
              <w:pStyle w:val="TableParagraph"/>
              <w:spacing w:before="13"/>
              <w:rPr>
                <w:sz w:val="24"/>
                <w:szCs w:val="24"/>
              </w:rPr>
            </w:pPr>
            <w:proofErr w:type="gramStart"/>
            <w:r w:rsidRPr="00361CDA">
              <w:rPr>
                <w:sz w:val="24"/>
                <w:szCs w:val="24"/>
              </w:rPr>
              <w:t>expresses</w:t>
            </w:r>
            <w:proofErr w:type="gramEnd"/>
            <w:r w:rsidRPr="00361CDA">
              <w:rPr>
                <w:sz w:val="24"/>
                <w:szCs w:val="24"/>
              </w:rPr>
              <w:t xml:space="preserve"> </w:t>
            </w:r>
            <w:r w:rsidRPr="00361CDA">
              <w:rPr>
                <w:b/>
                <w:sz w:val="24"/>
                <w:szCs w:val="24"/>
              </w:rPr>
              <w:t>above average</w:t>
            </w:r>
            <w:r w:rsidRPr="00361CDA">
              <w:rPr>
                <w:sz w:val="24"/>
                <w:szCs w:val="24"/>
              </w:rPr>
              <w:t xml:space="preserve"> understanding of these abilities through written critical analysis, spoken narrative, and class and instructor follow questions.</w:t>
            </w:r>
          </w:p>
        </w:tc>
        <w:tc>
          <w:tcPr>
            <w:tcW w:w="1956" w:type="dxa"/>
          </w:tcPr>
          <w:p w14:paraId="2B13E44B" w14:textId="77777777" w:rsidR="00124DE8" w:rsidRPr="00361CDA" w:rsidRDefault="00124DE8" w:rsidP="00E5415D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Student</w:t>
            </w:r>
          </w:p>
          <w:p w14:paraId="3529D0F0" w14:textId="77777777" w:rsidR="00124DE8" w:rsidRPr="00361CDA" w:rsidRDefault="00124DE8" w:rsidP="00E5415D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demonstrates these</w:t>
            </w:r>
          </w:p>
          <w:p w14:paraId="204149CD" w14:textId="77777777" w:rsidR="00124DE8" w:rsidRPr="00361CDA" w:rsidRDefault="00124DE8" w:rsidP="00E5415D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abilities through</w:t>
            </w:r>
          </w:p>
          <w:p w14:paraId="45FF60C8" w14:textId="34ED6883" w:rsidR="00124DE8" w:rsidRPr="00361CDA" w:rsidRDefault="00124DE8" w:rsidP="00124DE8">
            <w:pPr>
              <w:pStyle w:val="TableParagraph"/>
              <w:spacing w:before="11"/>
              <w:rPr>
                <w:sz w:val="24"/>
                <w:szCs w:val="24"/>
              </w:rPr>
            </w:pPr>
            <w:proofErr w:type="gramStart"/>
            <w:r w:rsidRPr="00361CDA">
              <w:rPr>
                <w:b/>
                <w:sz w:val="24"/>
                <w:szCs w:val="24"/>
              </w:rPr>
              <w:t>basic</w:t>
            </w:r>
            <w:proofErr w:type="gramEnd"/>
            <w:r w:rsidRPr="00361CDA">
              <w:rPr>
                <w:sz w:val="24"/>
                <w:szCs w:val="24"/>
              </w:rPr>
              <w:t xml:space="preserve"> written critical analysis, spoken narrative, and class and instructor follow questions.</w:t>
            </w:r>
          </w:p>
        </w:tc>
        <w:tc>
          <w:tcPr>
            <w:tcW w:w="1943" w:type="dxa"/>
          </w:tcPr>
          <w:p w14:paraId="03B02790" w14:textId="77777777" w:rsidR="00124DE8" w:rsidRPr="00361CDA" w:rsidRDefault="00124DE8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Student</w:t>
            </w:r>
          </w:p>
          <w:p w14:paraId="17EA7291" w14:textId="77777777" w:rsidR="00124DE8" w:rsidRPr="00361CDA" w:rsidRDefault="00124DE8">
            <w:pPr>
              <w:pStyle w:val="TableParagraph"/>
              <w:spacing w:before="13"/>
              <w:ind w:left="105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demonstrates</w:t>
            </w:r>
          </w:p>
          <w:p w14:paraId="2A0AE2C2" w14:textId="7D584C4D" w:rsidR="00124DE8" w:rsidRPr="00361CDA" w:rsidRDefault="00124DE8" w:rsidP="00E5415D">
            <w:pPr>
              <w:pStyle w:val="TableParagraph"/>
              <w:spacing w:before="13"/>
              <w:rPr>
                <w:b/>
                <w:sz w:val="24"/>
                <w:szCs w:val="24"/>
              </w:rPr>
            </w:pPr>
            <w:r w:rsidRPr="00361CDA">
              <w:rPr>
                <w:b/>
                <w:sz w:val="24"/>
                <w:szCs w:val="24"/>
              </w:rPr>
              <w:t xml:space="preserve">very limited </w:t>
            </w:r>
          </w:p>
          <w:p w14:paraId="7EA9E8F1" w14:textId="77777777" w:rsidR="00124DE8" w:rsidRPr="00361CDA" w:rsidRDefault="00124DE8" w:rsidP="00E5415D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abilities through</w:t>
            </w:r>
          </w:p>
          <w:p w14:paraId="7130A681" w14:textId="12CF3F3C" w:rsidR="00124DE8" w:rsidRPr="00361CDA" w:rsidRDefault="00124DE8" w:rsidP="00124DE8">
            <w:pPr>
              <w:pStyle w:val="TableParagraph"/>
              <w:spacing w:before="11"/>
              <w:rPr>
                <w:sz w:val="24"/>
                <w:szCs w:val="24"/>
              </w:rPr>
            </w:pPr>
            <w:proofErr w:type="gramStart"/>
            <w:r w:rsidRPr="00361CDA">
              <w:rPr>
                <w:sz w:val="24"/>
                <w:szCs w:val="24"/>
              </w:rPr>
              <w:t>written</w:t>
            </w:r>
            <w:proofErr w:type="gramEnd"/>
            <w:r w:rsidRPr="00361CDA">
              <w:rPr>
                <w:sz w:val="24"/>
                <w:szCs w:val="24"/>
              </w:rPr>
              <w:t xml:space="preserve"> critical analysis, spoken narrative, and class and instructor follow questions.</w:t>
            </w:r>
          </w:p>
        </w:tc>
      </w:tr>
      <w:tr w:rsidR="007A3E01" w:rsidRPr="00361CDA" w14:paraId="3322DAB5" w14:textId="77777777" w:rsidTr="00853862">
        <w:trPr>
          <w:trHeight w:val="2642"/>
        </w:trPr>
        <w:tc>
          <w:tcPr>
            <w:tcW w:w="2936" w:type="dxa"/>
            <w:tcBorders>
              <w:bottom w:val="single" w:sz="4" w:space="0" w:color="000000"/>
            </w:tcBorders>
          </w:tcPr>
          <w:p w14:paraId="4A5231E7" w14:textId="77777777" w:rsidR="007A3E01" w:rsidRPr="00361CDA" w:rsidRDefault="007A3E0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361CDA">
              <w:rPr>
                <w:b/>
                <w:sz w:val="24"/>
                <w:szCs w:val="24"/>
              </w:rPr>
              <w:t>(ELO 3)</w:t>
            </w:r>
          </w:p>
          <w:p w14:paraId="098E87A4" w14:textId="4E5154CB" w:rsidR="007A3E01" w:rsidRPr="00361CDA" w:rsidRDefault="007A3E01" w:rsidP="004C169A">
            <w:pPr>
              <w:pStyle w:val="TableParagraph"/>
              <w:spacing w:before="16"/>
              <w:rPr>
                <w:b/>
                <w:sz w:val="24"/>
                <w:szCs w:val="24"/>
              </w:rPr>
            </w:pPr>
            <w:r w:rsidRPr="00361CDA">
              <w:rPr>
                <w:color w:val="000000"/>
                <w:sz w:val="24"/>
                <w:szCs w:val="24"/>
              </w:rPr>
              <w:t>Students recognize and understand differences and similarities between the cultures and communities of the language that they are studying and their own.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14:paraId="35977190" w14:textId="77777777" w:rsidR="007A3E01" w:rsidRPr="00361CDA" w:rsidRDefault="007A3E0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Student uses</w:t>
            </w:r>
          </w:p>
          <w:p w14:paraId="451D8EC1" w14:textId="7D72243C" w:rsidR="007A3E01" w:rsidRPr="00361CDA" w:rsidRDefault="007A3E01" w:rsidP="007A3E01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credible and relevant</w:t>
            </w:r>
          </w:p>
          <w:p w14:paraId="19FA4CF8" w14:textId="01BF8117" w:rsidR="007A3E01" w:rsidRPr="00361CDA" w:rsidRDefault="007A3E01" w:rsidP="007A3E01">
            <w:pPr>
              <w:pStyle w:val="TableParagraph"/>
              <w:spacing w:before="12"/>
              <w:rPr>
                <w:sz w:val="24"/>
                <w:szCs w:val="24"/>
              </w:rPr>
            </w:pPr>
            <w:proofErr w:type="gramStart"/>
            <w:r w:rsidRPr="00361CDA">
              <w:rPr>
                <w:sz w:val="24"/>
                <w:szCs w:val="24"/>
              </w:rPr>
              <w:t>sources</w:t>
            </w:r>
            <w:proofErr w:type="gramEnd"/>
            <w:r w:rsidRPr="00361CDA">
              <w:rPr>
                <w:sz w:val="24"/>
                <w:szCs w:val="24"/>
              </w:rPr>
              <w:t xml:space="preserve">, personal reflection, understanding of semester materials and can compose a coherent and sophisticated </w:t>
            </w:r>
            <w:r w:rsidR="00E23400" w:rsidRPr="00361CDA">
              <w:rPr>
                <w:sz w:val="24"/>
                <w:szCs w:val="24"/>
              </w:rPr>
              <w:t>spoken narrative.</w:t>
            </w:r>
          </w:p>
          <w:p w14:paraId="3BF65BF2" w14:textId="6C67EBC7" w:rsidR="007A3E01" w:rsidRPr="00361CDA" w:rsidRDefault="007A3E01" w:rsidP="00EE3391">
            <w:pPr>
              <w:pStyle w:val="TableParagraph"/>
              <w:spacing w:before="14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14:paraId="0B0B4F2D" w14:textId="103142D9" w:rsidR="00E23400" w:rsidRPr="00361CDA" w:rsidRDefault="00E23400" w:rsidP="00E23400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Student uses mostly</w:t>
            </w:r>
          </w:p>
          <w:p w14:paraId="4D839E4D" w14:textId="68E9E279" w:rsidR="00E23400" w:rsidRPr="00361CDA" w:rsidRDefault="00E23400" w:rsidP="00E23400">
            <w:pPr>
              <w:pStyle w:val="TableParagraph"/>
              <w:spacing w:before="12"/>
              <w:rPr>
                <w:sz w:val="24"/>
                <w:szCs w:val="24"/>
              </w:rPr>
            </w:pPr>
            <w:proofErr w:type="gramStart"/>
            <w:r w:rsidRPr="00361CDA">
              <w:rPr>
                <w:sz w:val="24"/>
                <w:szCs w:val="24"/>
              </w:rPr>
              <w:t>relevant</w:t>
            </w:r>
            <w:proofErr w:type="gramEnd"/>
            <w:r w:rsidRPr="00361CDA">
              <w:rPr>
                <w:sz w:val="24"/>
                <w:szCs w:val="24"/>
              </w:rPr>
              <w:t xml:space="preserve"> sources, personal reflection, understanding of semester materials and can compose a coherent spoken narrative.</w:t>
            </w:r>
          </w:p>
          <w:p w14:paraId="753223AF" w14:textId="638BF38D" w:rsidR="007A3E01" w:rsidRPr="00361CDA" w:rsidRDefault="007A3E01" w:rsidP="000A106E">
            <w:pPr>
              <w:pStyle w:val="TableParagraph"/>
              <w:spacing w:before="14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F7E47E4" w14:textId="77777777" w:rsidR="007A3E01" w:rsidRPr="00361CDA" w:rsidRDefault="007A3E01">
            <w:pPr>
              <w:pStyle w:val="TableParagraph"/>
              <w:spacing w:line="249" w:lineRule="exact"/>
              <w:ind w:left="106"/>
              <w:rPr>
                <w:b/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 xml:space="preserve">Student </w:t>
            </w:r>
            <w:r w:rsidRPr="00361CDA">
              <w:rPr>
                <w:b/>
                <w:sz w:val="24"/>
                <w:szCs w:val="24"/>
              </w:rPr>
              <w:t>is able to</w:t>
            </w:r>
          </w:p>
          <w:p w14:paraId="2A98EF83" w14:textId="77777777" w:rsidR="007A3E01" w:rsidRPr="00361CDA" w:rsidRDefault="007A3E01">
            <w:pPr>
              <w:pStyle w:val="TableParagraph"/>
              <w:spacing w:before="12"/>
              <w:ind w:left="106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access useful</w:t>
            </w:r>
          </w:p>
          <w:p w14:paraId="4C330A6F" w14:textId="77777777" w:rsidR="00EA2709" w:rsidRDefault="007A3E01" w:rsidP="00E23400">
            <w:pPr>
              <w:pStyle w:val="TableParagraph"/>
              <w:spacing w:before="12"/>
              <w:ind w:left="106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>information,</w:t>
            </w:r>
            <w:r w:rsidR="00E23400" w:rsidRPr="00361CDA">
              <w:rPr>
                <w:sz w:val="24"/>
                <w:szCs w:val="24"/>
              </w:rPr>
              <w:t xml:space="preserve"> and personal</w:t>
            </w:r>
            <w:r w:rsidR="00EA2709">
              <w:rPr>
                <w:sz w:val="24"/>
                <w:szCs w:val="24"/>
              </w:rPr>
              <w:t xml:space="preserve"> </w:t>
            </w:r>
            <w:r w:rsidR="00E23400" w:rsidRPr="00361CDA">
              <w:rPr>
                <w:sz w:val="24"/>
                <w:szCs w:val="24"/>
              </w:rPr>
              <w:t>reflection,</w:t>
            </w:r>
            <w:r w:rsidRPr="00361CDA">
              <w:rPr>
                <w:sz w:val="24"/>
                <w:szCs w:val="24"/>
              </w:rPr>
              <w:t xml:space="preserve"> </w:t>
            </w:r>
          </w:p>
          <w:p w14:paraId="39A95395" w14:textId="12B5315A" w:rsidR="00E23400" w:rsidRPr="00361CDA" w:rsidRDefault="007A3E01" w:rsidP="00E23400">
            <w:pPr>
              <w:pStyle w:val="TableParagraph"/>
              <w:spacing w:before="12"/>
              <w:ind w:left="106"/>
              <w:rPr>
                <w:sz w:val="24"/>
                <w:szCs w:val="24"/>
              </w:rPr>
            </w:pPr>
            <w:proofErr w:type="gramStart"/>
            <w:r w:rsidRPr="00361CDA">
              <w:rPr>
                <w:b/>
                <w:sz w:val="24"/>
                <w:szCs w:val="24"/>
              </w:rPr>
              <w:t>but</w:t>
            </w:r>
            <w:proofErr w:type="gramEnd"/>
            <w:r w:rsidR="00E23400" w:rsidRPr="00361CDA">
              <w:rPr>
                <w:b/>
                <w:sz w:val="24"/>
                <w:szCs w:val="24"/>
              </w:rPr>
              <w:t xml:space="preserve"> lacks understanding</w:t>
            </w:r>
            <w:r w:rsidR="00E23400" w:rsidRPr="00361CDA">
              <w:rPr>
                <w:sz w:val="24"/>
                <w:szCs w:val="24"/>
              </w:rPr>
              <w:t xml:space="preserve"> of semester materials and is only able to compose a basic spoken narrative.</w:t>
            </w:r>
          </w:p>
          <w:p w14:paraId="1F8FE970" w14:textId="690AAB7A" w:rsidR="007A3E01" w:rsidRPr="00361CDA" w:rsidRDefault="007A3E01" w:rsidP="00610AF0">
            <w:pPr>
              <w:pStyle w:val="TableParagraph"/>
              <w:spacing w:before="14"/>
              <w:ind w:left="106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 w14:paraId="6DA23446" w14:textId="598A31BC" w:rsidR="00E23400" w:rsidRPr="00361CDA" w:rsidRDefault="00E23400" w:rsidP="00E23400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361CDA">
              <w:rPr>
                <w:sz w:val="24"/>
                <w:szCs w:val="24"/>
              </w:rPr>
              <w:t xml:space="preserve">Student demonstrates </w:t>
            </w:r>
            <w:r w:rsidRPr="00361CDA">
              <w:rPr>
                <w:b/>
                <w:sz w:val="24"/>
                <w:szCs w:val="24"/>
              </w:rPr>
              <w:t>very little</w:t>
            </w:r>
            <w:r w:rsidRPr="00361CDA">
              <w:rPr>
                <w:sz w:val="24"/>
                <w:szCs w:val="24"/>
              </w:rPr>
              <w:t xml:space="preserve"> to no relevant sources, </w:t>
            </w:r>
          </w:p>
          <w:p w14:paraId="0DF7CCAD" w14:textId="25A2D742" w:rsidR="00E23400" w:rsidRPr="00361CDA" w:rsidRDefault="00E23400" w:rsidP="00E23400">
            <w:pPr>
              <w:pStyle w:val="TableParagraph"/>
              <w:spacing w:before="12"/>
              <w:ind w:left="106"/>
              <w:rPr>
                <w:sz w:val="24"/>
                <w:szCs w:val="24"/>
              </w:rPr>
            </w:pPr>
            <w:proofErr w:type="gramStart"/>
            <w:r w:rsidRPr="00361CDA">
              <w:rPr>
                <w:sz w:val="24"/>
                <w:szCs w:val="24"/>
              </w:rPr>
              <w:t>displays</w:t>
            </w:r>
            <w:proofErr w:type="gramEnd"/>
            <w:r w:rsidRPr="00361CDA">
              <w:rPr>
                <w:sz w:val="24"/>
                <w:szCs w:val="24"/>
              </w:rPr>
              <w:t xml:space="preserve"> basic personal reflection, lacks understanding of semester materials and is only able to compose a basic spoken narrative.</w:t>
            </w:r>
          </w:p>
          <w:p w14:paraId="6EFB20B6" w14:textId="26FA5BD8" w:rsidR="007A3E01" w:rsidRPr="00361CDA" w:rsidRDefault="007A3E01" w:rsidP="00E23400">
            <w:pPr>
              <w:pStyle w:val="TableParagraph"/>
              <w:spacing w:before="14"/>
              <w:ind w:left="105"/>
              <w:rPr>
                <w:sz w:val="24"/>
                <w:szCs w:val="24"/>
              </w:rPr>
            </w:pPr>
          </w:p>
        </w:tc>
      </w:tr>
    </w:tbl>
    <w:p w14:paraId="2B70E053" w14:textId="77777777" w:rsidR="00FD4A86" w:rsidRPr="00361CDA" w:rsidRDefault="00FD4A86">
      <w:pPr>
        <w:rPr>
          <w:sz w:val="24"/>
          <w:szCs w:val="24"/>
        </w:rPr>
      </w:pPr>
    </w:p>
    <w:sectPr w:rsidR="00FD4A86" w:rsidRPr="00361CDA">
      <w:pgSz w:w="12240" w:h="15840"/>
      <w:pgMar w:top="92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B8"/>
    <w:rsid w:val="00124DE8"/>
    <w:rsid w:val="001934AD"/>
    <w:rsid w:val="001D2F88"/>
    <w:rsid w:val="002F4034"/>
    <w:rsid w:val="003200FE"/>
    <w:rsid w:val="00361CDA"/>
    <w:rsid w:val="00371582"/>
    <w:rsid w:val="00420B03"/>
    <w:rsid w:val="005002AD"/>
    <w:rsid w:val="005F25B9"/>
    <w:rsid w:val="00625D33"/>
    <w:rsid w:val="006509D8"/>
    <w:rsid w:val="006576B8"/>
    <w:rsid w:val="006F532D"/>
    <w:rsid w:val="007A3E01"/>
    <w:rsid w:val="008B48D9"/>
    <w:rsid w:val="008F2718"/>
    <w:rsid w:val="008F28A8"/>
    <w:rsid w:val="009754BC"/>
    <w:rsid w:val="00B67749"/>
    <w:rsid w:val="00E23400"/>
    <w:rsid w:val="00E5415D"/>
    <w:rsid w:val="00E60711"/>
    <w:rsid w:val="00EA2709"/>
    <w:rsid w:val="00EB1930"/>
    <w:rsid w:val="00ED0188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FD52"/>
  <w15:docId w15:val="{B14B6777-7ACC-4D93-A301-721CB38E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unhideWhenUsed/>
    <w:rsid w:val="00B67749"/>
    <w:pPr>
      <w:widowControl/>
      <w:autoSpaceDE/>
      <w:autoSpaceDN/>
    </w:pPr>
    <w:rPr>
      <w:rFonts w:ascii="Calibri" w:eastAsiaTheme="minorHAnsi" w:hAnsi="Calibri" w:cs="Calibri"/>
    </w:rPr>
  </w:style>
  <w:style w:type="table" w:styleId="TableGrid">
    <w:name w:val="Table Grid"/>
    <w:basedOn w:val="TableNormal"/>
    <w:uiPriority w:val="59"/>
    <w:rsid w:val="00B6774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Vankeerbergen, Bernadette C.</cp:lastModifiedBy>
  <cp:revision>2</cp:revision>
  <dcterms:created xsi:type="dcterms:W3CDTF">2019-04-10T20:38:00Z</dcterms:created>
  <dcterms:modified xsi:type="dcterms:W3CDTF">2019-04-10T20:38:00Z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Adobe Acrobat Pro 11.0.20</vt:lpwstr>
  </property>
  <property fmtid="{D5CDD505-2E9C-101B-9397-08002B2CF9AE}" pid="4" name="LastSaved">
    <vt:filetime>2019-02-26T00:00:00Z</vt:filetime>
  </property>
</Properties>
</file>